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18" w:rsidRDefault="00EE1118" w:rsidP="00EE1118">
      <w:pPr>
        <w:rPr>
          <w:rFonts w:ascii="Century" w:eastAsia="ＭＳ 明朝" w:hAnsi="Century" w:cs="Times New Roman"/>
          <w:color w:val="FF0000"/>
          <w:kern w:val="0"/>
          <w:szCs w:val="24"/>
        </w:rPr>
      </w:pPr>
      <w:r w:rsidRPr="00CE290D">
        <w:rPr>
          <w:rFonts w:hint="eastAsia"/>
          <w:b/>
          <w:u w:val="single"/>
        </w:rPr>
        <w:t>幾何学概論幾何学序論</w:t>
      </w:r>
      <w:r w:rsidRPr="00CE290D">
        <w:rPr>
          <w:rFonts w:hint="eastAsia"/>
          <w:b/>
          <w:u w:val="single"/>
        </w:rPr>
        <w:t>2</w:t>
      </w:r>
      <w:r w:rsidRPr="00CE290D">
        <w:rPr>
          <w:rFonts w:hint="eastAsia"/>
          <w:b/>
          <w:u w:val="single"/>
        </w:rPr>
        <w:t>コロナ第</w:t>
      </w:r>
      <w:r>
        <w:rPr>
          <w:rFonts w:hint="eastAsia"/>
          <w:b/>
          <w:u w:val="single"/>
        </w:rPr>
        <w:t>6</w:t>
      </w:r>
      <w:r w:rsidRPr="00CE290D">
        <w:rPr>
          <w:rFonts w:hint="eastAsia"/>
          <w:b/>
          <w:u w:val="single"/>
        </w:rPr>
        <w:t>講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20200614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版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/>
          <w:kern w:val="0"/>
          <w:szCs w:val="24"/>
          <w:bdr w:val="single" w:sz="4" w:space="0" w:color="auto"/>
        </w:rPr>
        <w:t>Q</w:t>
      </w:r>
      <w:r w:rsidRPr="00EE1118"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  <w:t>uiz.</w:t>
      </w:r>
      <w:r w:rsidRPr="00EE1118">
        <w:rPr>
          <w:rFonts w:ascii="Century" w:eastAsia="ＭＳ 明朝" w:hAnsi="Century" w:cs="Times New Roman"/>
          <w:kern w:val="0"/>
          <w:szCs w:val="24"/>
        </w:rPr>
        <w:t xml:space="preserve"> 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以下の</w:t>
      </w:r>
      <w:r w:rsidRPr="00EE1118"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  <w:t>ブランク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4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カ所を埋めよ。</w:t>
      </w:r>
      <w:bookmarkStart w:id="0" w:name="_GoBack"/>
      <w:bookmarkEnd w:id="0"/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  <w:bdr w:val="single" w:sz="4" w:space="0" w:color="auto"/>
        </w:rPr>
      </w:pPr>
    </w:p>
    <w:p w:rsidR="00EE1118" w:rsidRPr="00EE1118" w:rsidRDefault="00EE1118" w:rsidP="00EE1118">
      <w:pPr>
        <w:rPr>
          <w:rFonts w:ascii="Century" w:eastAsia="ＭＳ 明朝" w:hAnsi="Century" w:cs="Times New Roman"/>
          <w:b/>
          <w:color w:val="FF0000"/>
          <w:kern w:val="0"/>
          <w:szCs w:val="24"/>
          <w:bdr w:val="single" w:sz="4" w:space="0" w:color="auto"/>
        </w:rPr>
      </w:pPr>
      <w:r w:rsidRPr="00EE1118">
        <w:rPr>
          <w:rFonts w:ascii="Century" w:eastAsia="ＭＳ 明朝" w:hAnsi="Century" w:cs="Times New Roman" w:hint="eastAsia"/>
          <w:b/>
          <w:color w:val="FF0000"/>
          <w:kern w:val="0"/>
          <w:szCs w:val="24"/>
          <w:bdr w:val="single" w:sz="4" w:space="0" w:color="auto"/>
        </w:rPr>
        <w:t>復習</w:t>
      </w:r>
      <w:r w:rsidRPr="00EE1118">
        <w:rPr>
          <w:rFonts w:ascii="Century" w:eastAsia="ＭＳ 明朝" w:hAnsi="Century" w:cs="Times New Roman" w:hint="eastAsia"/>
          <w:b/>
          <w:color w:val="FF0000"/>
          <w:kern w:val="0"/>
          <w:szCs w:val="24"/>
          <w:bdr w:val="single" w:sz="4" w:space="0" w:color="auto"/>
        </w:rPr>
        <w:t>:</w:t>
      </w:r>
      <w:r w:rsidRPr="00EE1118">
        <w:rPr>
          <w:rFonts w:ascii="Century" w:eastAsia="ＭＳ 明朝" w:hAnsi="Century" w:cs="Times New Roman"/>
          <w:b/>
          <w:color w:val="FF0000"/>
          <w:kern w:val="0"/>
          <w:szCs w:val="24"/>
          <w:bdr w:val="single" w:sz="4" w:space="0" w:color="auto"/>
        </w:rPr>
        <w:t xml:space="preserve"> </w:t>
      </w:r>
      <w:r w:rsidRPr="00EE1118">
        <w:rPr>
          <w:rFonts w:ascii="Century" w:eastAsia="ＭＳ 明朝" w:hAnsi="Century" w:cs="Times New Roman" w:hint="eastAsia"/>
          <w:b/>
          <w:color w:val="FF0000"/>
          <w:kern w:val="0"/>
          <w:szCs w:val="24"/>
          <w:bdr w:val="single" w:sz="4" w:space="0" w:color="auto"/>
        </w:rPr>
        <w:t>公理</w:t>
      </w:r>
      <w:r w:rsidRPr="00EE1118">
        <w:rPr>
          <w:rFonts w:ascii="Century" w:eastAsia="ＭＳ 明朝" w:hAnsi="Century" w:cs="Times New Roman" w:hint="eastAsia"/>
          <w:b/>
          <w:color w:val="FF0000"/>
          <w:kern w:val="0"/>
          <w:szCs w:val="24"/>
          <w:bdr w:val="single" w:sz="4" w:space="0" w:color="auto"/>
        </w:rPr>
        <w:t>IV-</w:t>
      </w:r>
      <w:r w:rsidRPr="00EE1118">
        <w:rPr>
          <w:rFonts w:ascii="Century" w:eastAsia="ＭＳ 明朝" w:hAnsi="Century" w:cs="Times New Roman"/>
          <w:b/>
          <w:color w:val="FF0000"/>
          <w:kern w:val="0"/>
          <w:szCs w:val="24"/>
          <w:bdr w:val="single" w:sz="4" w:space="0" w:color="auto"/>
        </w:rPr>
        <w:t>C</w:t>
      </w:r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  <w:bdr w:val="single" w:sz="4" w:space="0" w:color="auto"/>
        </w:rPr>
      </w:pPr>
      <w:r w:rsidRPr="00EE1118">
        <w:rPr>
          <w:rFonts w:ascii="Century" w:eastAsia="ＭＳ 明朝" w:hAnsi="Century" w:cs="Times New Roman"/>
          <w:noProof/>
          <w:kern w:val="0"/>
          <w:szCs w:val="24"/>
          <w:bdr w:val="single" w:sz="4" w:space="0" w:color="auto"/>
        </w:rPr>
        <w:drawing>
          <wp:inline distT="0" distB="0" distL="0" distR="0">
            <wp:extent cx="4591050" cy="2838450"/>
            <wp:effectExtent l="0" t="0" r="0" b="0"/>
            <wp:docPr id="3" name="図 3" descr="kou4cf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4cf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b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>第１合同定理（対応する２辺夾角）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において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AB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ならば、△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である。</w:t>
      </w:r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  <w:u w:val="single"/>
        </w:rPr>
      </w:pPr>
      <w:r w:rsidRPr="00EE1118">
        <w:rPr>
          <w:rFonts w:ascii="Century" w:eastAsia="ＭＳ 明朝" w:hAnsi="Century" w:cs="Times New Roman"/>
          <w:noProof/>
          <w:kern w:val="0"/>
          <w:szCs w:val="24"/>
          <w:u w:val="single"/>
        </w:rPr>
        <w:drawing>
          <wp:inline distT="0" distB="0" distL="0" distR="0">
            <wp:extent cx="3676650" cy="1628775"/>
            <wp:effectExtent l="0" t="0" r="0" b="9525"/>
            <wp:docPr id="2" name="図 2" descr="daiichi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iichis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  <w:u w:val="single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b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>証明（公理</w:t>
      </w: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>IV</w:t>
      </w: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>－</w:t>
      </w: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>C</w:t>
      </w: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 xml:space="preserve">　利用）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公理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IV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－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より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B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C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あとは</w:t>
      </w:r>
      <w:r w:rsidRPr="00EE1118"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  <w:t xml:space="preserve">　　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  <w:t xml:space="preserve">　　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を示せば、（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3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辺３角揃って、）よい。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半直線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上に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となる点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をとる。</w:t>
      </w:r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</w:rPr>
      </w:pPr>
      <w:r w:rsidRPr="00EE1118">
        <w:rPr>
          <w:rFonts w:ascii="Century" w:eastAsia="ＭＳ 明朝" w:hAnsi="Century" w:cs="Times New Roman"/>
          <w:noProof/>
          <w:kern w:val="0"/>
          <w:szCs w:val="24"/>
        </w:rPr>
        <w:lastRenderedPageBreak/>
        <w:drawing>
          <wp:inline distT="0" distB="0" distL="0" distR="0">
            <wp:extent cx="4476750" cy="2019300"/>
            <wp:effectExtent l="0" t="0" r="0" b="0"/>
            <wp:docPr id="1" name="図 1" descr="daiichis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iichish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BAC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において、</w:t>
      </w:r>
    </w:p>
    <w:p w:rsidR="00EE1118" w:rsidRPr="00EE1118" w:rsidRDefault="00EE1118" w:rsidP="00EE1118">
      <w:pPr>
        <w:ind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BA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BC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B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（２辺夾角的状況）なので、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公理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IV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－</w:t>
      </w:r>
      <w:r w:rsidRPr="00EE1118"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  <w:t xml:space="preserve">　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より、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BAC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00B05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color w:val="00B05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すると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00B05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color w:val="00B05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00B050"/>
          <w:kern w:val="0"/>
          <w:szCs w:val="24"/>
        </w:rPr>
        <w:t>BAC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　　　　　　　≡∠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・・・（定理の仮定より）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 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したがって半直線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は一致する。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故に点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は同一である。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よって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D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</w:p>
    <w:p w:rsidR="00EE1118" w:rsidRPr="00EE1118" w:rsidRDefault="00EE1118" w:rsidP="00EE1118">
      <w:pPr>
        <w:ind w:firstLineChars="500" w:firstLine="1050"/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ind w:firstLineChars="500" w:firstLine="105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（証明終）</w:t>
      </w:r>
    </w:p>
    <w:p w:rsidR="00EE1118" w:rsidRPr="00EE1118" w:rsidRDefault="00EE1118" w:rsidP="00EE1118">
      <w:pPr>
        <w:ind w:firstLineChars="500" w:firstLine="1050"/>
        <w:jc w:val="right"/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Default="00EE1118">
      <w:pPr>
        <w:widowControl/>
        <w:jc w:val="left"/>
      </w:pPr>
      <w:r>
        <w:br w:type="page"/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b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lastRenderedPageBreak/>
        <w:t>第２合同定理（対応する２角夾辺）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において</w:t>
      </w:r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ならば、△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ABC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である。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</w:pPr>
      <w:r w:rsidRPr="00EE1118">
        <w:rPr>
          <w:rFonts w:ascii="Century" w:eastAsia="ＭＳ 明朝" w:hAnsi="Century" w:cs="Times New Roman"/>
          <w:noProof/>
          <w:kern w:val="0"/>
          <w:szCs w:val="24"/>
        </w:rPr>
        <w:drawing>
          <wp:inline distT="0" distB="0" distL="0" distR="0">
            <wp:extent cx="4381500" cy="1828800"/>
            <wp:effectExtent l="0" t="0" r="0" b="0"/>
            <wp:docPr id="5" name="図 5" descr="daini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inist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b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b/>
          <w:kern w:val="0"/>
          <w:szCs w:val="24"/>
          <w:bdr w:val="single" w:sz="4" w:space="0" w:color="auto"/>
        </w:rPr>
        <w:t>証明（第１合同定理を利用）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半直線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上に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BA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となる点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をとる。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すると</w:t>
      </w:r>
      <w:r w:rsidRPr="00EE1118">
        <w:rPr>
          <w:rFonts w:ascii="Century" w:eastAsia="ＭＳ 明朝" w:hAnsi="Century" w:cs="Times New Roman"/>
          <w:noProof/>
          <w:kern w:val="0"/>
          <w:szCs w:val="24"/>
        </w:rPr>
        <w:drawing>
          <wp:inline distT="0" distB="0" distL="0" distR="0">
            <wp:extent cx="4429125" cy="2143125"/>
            <wp:effectExtent l="0" t="0" r="9525" b="9525"/>
            <wp:docPr id="4" name="図 4" descr="dainis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inish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18" w:rsidRPr="00EE1118" w:rsidRDefault="00EE1118" w:rsidP="00EE1118">
      <w:pPr>
        <w:ind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BAC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・・・（第</w:t>
      </w:r>
      <w:r w:rsidRPr="00EE1118">
        <w:rPr>
          <w:rFonts w:ascii="Century" w:eastAsia="ＭＳ 明朝" w:hAnsi="Century" w:cs="Times New Roman" w:hint="eastAsia"/>
          <w:kern w:val="0"/>
          <w:szCs w:val="24"/>
          <w:bdr w:val="single" w:sz="4" w:space="0" w:color="auto"/>
        </w:rPr>
        <w:t xml:space="preserve">　　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合同定理（∠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，∠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をはさんで２辺夾角）より）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したがって、</w:t>
      </w:r>
    </w:p>
    <w:p w:rsidR="00EE1118" w:rsidRPr="00EE1118" w:rsidRDefault="00EE1118" w:rsidP="00EE1118">
      <w:pPr>
        <w:ind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∠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ACB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 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・・・（対応する角）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すると∠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color w:val="0070C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≡∠</w:t>
      </w:r>
      <w:r w:rsidRPr="00EE1118">
        <w:rPr>
          <w:rFonts w:ascii="Century" w:eastAsia="ＭＳ 明朝" w:hAnsi="Century" w:cs="Times New Roman" w:hint="eastAsia"/>
          <w:color w:val="0070C0"/>
          <w:kern w:val="0"/>
          <w:szCs w:val="24"/>
        </w:rPr>
        <w:t>ACB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　　　　　　　≡∠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 xml:space="preserve"> 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・・・（定理の仮定より）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となる。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したがって半直線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は一致する。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故に点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と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は同一である。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EE1118" w:rsidRPr="00EE1118" w:rsidRDefault="00EE1118" w:rsidP="00EE1118">
      <w:pPr>
        <w:rPr>
          <w:rFonts w:ascii="Century" w:eastAsia="ＭＳ 明朝" w:hAnsi="Century" w:cs="Times New Roman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以上より、△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BAC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P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≡△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B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  <w:r w:rsidRPr="00EE1118">
        <w:rPr>
          <w:rFonts w:ascii="Century" w:eastAsia="ＭＳ 明朝" w:hAnsi="Century" w:cs="Times New Roman" w:hint="eastAsia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kern w:val="0"/>
          <w:szCs w:val="24"/>
        </w:rPr>
        <w:t>´</w:t>
      </w:r>
    </w:p>
    <w:p w:rsidR="00EE1118" w:rsidRPr="00EE1118" w:rsidRDefault="00EE1118" w:rsidP="00EE1118">
      <w:pPr>
        <w:rPr>
          <w:rFonts w:ascii="Century" w:eastAsia="ＭＳ 明朝" w:hAnsi="Century" w:cs="Times New Roman"/>
          <w:color w:val="FF0000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左辺・右辺の点の序列をかえて</w:t>
      </w:r>
    </w:p>
    <w:p w:rsidR="00EE1118" w:rsidRPr="00EE1118" w:rsidRDefault="00EE1118" w:rsidP="00EE1118">
      <w:pPr>
        <w:rPr>
          <w:rFonts w:ascii="Century" w:eastAsia="ＭＳ 明朝" w:hAnsi="Century" w:cs="Times New Roman" w:hint="eastAsia"/>
          <w:color w:val="FF0000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 xml:space="preserve">　　　　　△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B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C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≡△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A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´B´</w:t>
      </w:r>
      <w:r w:rsidRPr="00EE1118">
        <w:rPr>
          <w:rFonts w:ascii="Century" w:eastAsia="ＭＳ 明朝" w:hAnsi="Century" w:cs="Times New Roman" w:hint="eastAsia"/>
          <w:color w:val="FF0000"/>
          <w:kern w:val="0"/>
          <w:szCs w:val="24"/>
        </w:rPr>
        <w:t>C</w:t>
      </w:r>
      <w:r w:rsidRPr="00EE1118">
        <w:rPr>
          <w:rFonts w:ascii="Century" w:eastAsia="ＭＳ 明朝" w:hAnsi="Century" w:cs="Times New Roman"/>
          <w:color w:val="FF0000"/>
          <w:kern w:val="0"/>
          <w:szCs w:val="24"/>
        </w:rPr>
        <w:t>´</w:t>
      </w:r>
    </w:p>
    <w:p w:rsidR="00EE1118" w:rsidRPr="00EE1118" w:rsidRDefault="00EE1118" w:rsidP="00EE1118">
      <w:pPr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EE1118">
        <w:rPr>
          <w:rFonts w:ascii="Century" w:eastAsia="ＭＳ 明朝" w:hAnsi="Century" w:cs="Times New Roman" w:hint="eastAsia"/>
          <w:kern w:val="0"/>
          <w:szCs w:val="24"/>
        </w:rPr>
        <w:t>（証明終）</w:t>
      </w:r>
    </w:p>
    <w:p w:rsidR="00DC40C8" w:rsidRDefault="00DC40C8"/>
    <w:sectPr w:rsidR="00DC40C8" w:rsidSect="001674AE">
      <w:pgSz w:w="11906" w:h="16838" w:code="9"/>
      <w:pgMar w:top="1985" w:right="1701" w:bottom="1985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16"/>
    <w:rsid w:val="00550716"/>
    <w:rsid w:val="00DC40C8"/>
    <w:rsid w:val="00E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D4A70-C291-45FE-8064-76B7C036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2</cp:revision>
  <dcterms:created xsi:type="dcterms:W3CDTF">2020-06-14T10:07:00Z</dcterms:created>
  <dcterms:modified xsi:type="dcterms:W3CDTF">2020-06-14T10:12:00Z</dcterms:modified>
</cp:coreProperties>
</file>